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540" w:type="dxa"/>
        <w:tblLook w:val="01E0" w:firstRow="1" w:lastRow="1" w:firstColumn="1" w:lastColumn="1" w:noHBand="0" w:noVBand="0"/>
      </w:tblPr>
      <w:tblGrid>
        <w:gridCol w:w="7022"/>
        <w:gridCol w:w="3960"/>
      </w:tblGrid>
      <w:tr w:rsidR="00D53561" w:rsidRPr="002E3A95" w:rsidTr="0069131C">
        <w:trPr>
          <w:trHeight w:val="452"/>
        </w:trPr>
        <w:tc>
          <w:tcPr>
            <w:tcW w:w="7022" w:type="dxa"/>
            <w:vAlign w:val="center"/>
          </w:tcPr>
          <w:p w:rsidR="00D53561" w:rsidRPr="002E3A95" w:rsidRDefault="00CC70F4" w:rsidP="00CE565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</w:tcPr>
          <w:p w:rsidR="00D53561" w:rsidRDefault="00D53561" w:rsidP="00CE5656">
            <w:pPr>
              <w:jc w:val="center"/>
              <w:rPr>
                <w:rFonts w:eastAsia="SimSun"/>
                <w:b/>
                <w:noProof/>
                <w:sz w:val="20"/>
                <w:szCs w:val="20"/>
              </w:rPr>
            </w:pPr>
          </w:p>
          <w:p w:rsidR="00AF1F6C" w:rsidRPr="002E3A95" w:rsidRDefault="00AF1F6C" w:rsidP="00CE5656">
            <w:pPr>
              <w:jc w:val="center"/>
              <w:rPr>
                <w:rFonts w:eastAsia="SimSun"/>
                <w:b/>
                <w:noProof/>
                <w:sz w:val="20"/>
                <w:szCs w:val="20"/>
              </w:rPr>
            </w:pPr>
          </w:p>
        </w:tc>
      </w:tr>
    </w:tbl>
    <w:p w:rsidR="0069131C" w:rsidRPr="00761FA8" w:rsidRDefault="0069131C" w:rsidP="0069131C">
      <w:pPr>
        <w:tabs>
          <w:tab w:val="left" w:pos="709"/>
          <w:tab w:val="left" w:pos="1418"/>
        </w:tabs>
        <w:spacing w:line="276" w:lineRule="auto"/>
        <w:ind w:left="709" w:right="28"/>
        <w:rPr>
          <w:b/>
          <w:sz w:val="28"/>
          <w:szCs w:val="28"/>
        </w:rPr>
      </w:pPr>
      <w:r>
        <w:rPr>
          <w:b/>
          <w:sz w:val="26"/>
          <w:szCs w:val="26"/>
          <w:lang w:val="it-IT"/>
        </w:rPr>
        <w:t xml:space="preserve">                                 </w:t>
      </w:r>
      <w:r w:rsidR="00A37353">
        <w:rPr>
          <w:b/>
          <w:sz w:val="26"/>
          <w:szCs w:val="26"/>
          <w:lang w:val="it-IT"/>
        </w:rPr>
        <w:t xml:space="preserve">  </w:t>
      </w:r>
      <w:r w:rsidR="00951623">
        <w:rPr>
          <w:b/>
          <w:sz w:val="26"/>
          <w:szCs w:val="26"/>
          <w:lang w:val="it-IT"/>
        </w:rPr>
        <w:t xml:space="preserve">  </w:t>
      </w:r>
      <w:r w:rsidR="00A37353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 xml:space="preserve">   </w:t>
      </w:r>
      <w:r w:rsidR="00951623">
        <w:rPr>
          <w:b/>
          <w:sz w:val="28"/>
          <w:szCs w:val="28"/>
        </w:rPr>
        <w:t>PROIECT</w:t>
      </w:r>
      <w:r w:rsidR="00FE56AC">
        <w:rPr>
          <w:b/>
          <w:sz w:val="28"/>
          <w:szCs w:val="28"/>
        </w:rPr>
        <w:t xml:space="preserve"> DIDACTIC</w:t>
      </w:r>
    </w:p>
    <w:p w:rsidR="0069131C" w:rsidRPr="0069131C" w:rsidRDefault="0069131C" w:rsidP="0069131C">
      <w:pPr>
        <w:tabs>
          <w:tab w:val="left" w:pos="709"/>
          <w:tab w:val="left" w:pos="1418"/>
        </w:tabs>
        <w:spacing w:line="276" w:lineRule="auto"/>
        <w:ind w:left="709" w:right="2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A373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69131C">
        <w:rPr>
          <w:b/>
          <w:sz w:val="28"/>
          <w:szCs w:val="28"/>
        </w:rPr>
        <w:t xml:space="preserve">- </w:t>
      </w:r>
      <w:r w:rsidRPr="0069131C">
        <w:rPr>
          <w:i/>
          <w:sz w:val="28"/>
          <w:szCs w:val="28"/>
        </w:rPr>
        <w:t>exemplu -</w:t>
      </w:r>
    </w:p>
    <w:p w:rsidR="0069131C" w:rsidRPr="0069131C" w:rsidRDefault="0069131C" w:rsidP="0069131C">
      <w:pPr>
        <w:tabs>
          <w:tab w:val="left" w:pos="720"/>
        </w:tabs>
        <w:spacing w:line="276" w:lineRule="auto"/>
        <w:ind w:left="709" w:right="28"/>
        <w:jc w:val="center"/>
        <w:rPr>
          <w:b/>
          <w:sz w:val="28"/>
          <w:szCs w:val="28"/>
        </w:rPr>
      </w:pPr>
    </w:p>
    <w:p w:rsidR="0069131C" w:rsidRPr="0069131C" w:rsidRDefault="0069131C" w:rsidP="0069131C">
      <w:pPr>
        <w:numPr>
          <w:ilvl w:val="0"/>
          <w:numId w:val="18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 xml:space="preserve">Inițiator: </w:t>
      </w:r>
    </w:p>
    <w:p w:rsidR="0069131C" w:rsidRPr="0069131C" w:rsidRDefault="0069131C" w:rsidP="0069131C">
      <w:pPr>
        <w:numPr>
          <w:ilvl w:val="0"/>
          <w:numId w:val="18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Data: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Unitatea de învățământ: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 xml:space="preserve">Clasa: 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Subiectul lecției: Prevenirea faptelor de</w:t>
      </w:r>
      <w:r w:rsidRPr="0069131C">
        <w:rPr>
          <w:rFonts w:eastAsia="Calibri"/>
          <w:i/>
          <w:sz w:val="26"/>
          <w:szCs w:val="26"/>
          <w:lang w:eastAsia="en-US"/>
        </w:rPr>
        <w:t xml:space="preserve"> port sau folosire fără drept de obiecte periculoase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 xml:space="preserve">Titlul lecției: 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Tipul lecției: mixtă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Obiective:</w:t>
      </w:r>
    </w:p>
    <w:p w:rsidR="0069131C" w:rsidRPr="0069131C" w:rsidRDefault="0069131C" w:rsidP="0069131C">
      <w:pPr>
        <w:numPr>
          <w:ilvl w:val="0"/>
          <w:numId w:val="17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 xml:space="preserve">Informarea elevilor privind consecințele (fizice, psihologice și juridice) faptelor de </w:t>
      </w:r>
      <w:r w:rsidRPr="0069131C">
        <w:rPr>
          <w:rFonts w:eastAsia="Calibri"/>
          <w:i/>
          <w:sz w:val="26"/>
          <w:szCs w:val="26"/>
          <w:lang w:eastAsia="en-US"/>
        </w:rPr>
        <w:t>port sau folosire fără drept de obiecte periculoase</w:t>
      </w:r>
      <w:r w:rsidRPr="0069131C">
        <w:rPr>
          <w:rFonts w:eastAsia="Calibri"/>
          <w:sz w:val="26"/>
          <w:szCs w:val="26"/>
          <w:lang w:eastAsia="en-US"/>
        </w:rPr>
        <w:t>;</w:t>
      </w:r>
    </w:p>
    <w:p w:rsidR="0069131C" w:rsidRPr="0069131C" w:rsidRDefault="0069131C" w:rsidP="0069131C">
      <w:pPr>
        <w:numPr>
          <w:ilvl w:val="0"/>
          <w:numId w:val="17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 xml:space="preserve">Conștientizarea de către elevi a riscurilor, a vulnerabilităților și a urmărilor în ceea ce privește </w:t>
      </w:r>
      <w:r w:rsidRPr="0069131C">
        <w:rPr>
          <w:rFonts w:eastAsia="Calibri"/>
          <w:i/>
          <w:sz w:val="26"/>
          <w:szCs w:val="26"/>
          <w:lang w:eastAsia="en-US"/>
        </w:rPr>
        <w:t>portul sau folosirea fără drept de obiecte periculoase;</w:t>
      </w:r>
    </w:p>
    <w:p w:rsidR="0069131C" w:rsidRPr="0069131C" w:rsidRDefault="0069131C" w:rsidP="0069131C">
      <w:pPr>
        <w:numPr>
          <w:ilvl w:val="0"/>
          <w:numId w:val="17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dezvoltarea responsabilității față de propria persoană și față de ceilalți;</w:t>
      </w:r>
    </w:p>
    <w:p w:rsidR="0069131C" w:rsidRPr="0069131C" w:rsidRDefault="0069131C" w:rsidP="0069131C">
      <w:pPr>
        <w:numPr>
          <w:ilvl w:val="0"/>
          <w:numId w:val="17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dezvoltarea comunicării asertive și găsirea unor modalități de rezolvare pașnică a conflictelor.</w:t>
      </w:r>
    </w:p>
    <w:p w:rsidR="0069131C" w:rsidRPr="0069131C" w:rsidRDefault="0069131C" w:rsidP="0069131C">
      <w:pPr>
        <w:numPr>
          <w:ilvl w:val="0"/>
          <w:numId w:val="15"/>
        </w:numPr>
        <w:spacing w:after="160" w:line="276" w:lineRule="auto"/>
        <w:ind w:left="810" w:right="2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Strategia didactică</w:t>
      </w:r>
    </w:p>
    <w:p w:rsidR="0069131C" w:rsidRPr="0069131C" w:rsidRDefault="0069131C" w:rsidP="0069131C">
      <w:pPr>
        <w:numPr>
          <w:ilvl w:val="0"/>
          <w:numId w:val="14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Metode și procedee: conversația,</w:t>
      </w:r>
      <w:r w:rsidR="00547ABD">
        <w:rPr>
          <w:rFonts w:eastAsia="Calibri"/>
          <w:sz w:val="26"/>
          <w:szCs w:val="26"/>
          <w:lang w:eastAsia="en-US"/>
        </w:rPr>
        <w:t xml:space="preserve"> </w:t>
      </w:r>
      <w:r w:rsidRPr="0069131C">
        <w:rPr>
          <w:rFonts w:eastAsia="Calibri"/>
          <w:sz w:val="26"/>
          <w:szCs w:val="26"/>
          <w:lang w:eastAsia="en-US"/>
        </w:rPr>
        <w:t>observația, problematizarea, explicația, jocul de rol</w:t>
      </w:r>
      <w:r w:rsidR="00547ABD">
        <w:rPr>
          <w:rFonts w:eastAsia="Calibri"/>
          <w:sz w:val="26"/>
          <w:szCs w:val="26"/>
          <w:lang w:eastAsia="en-US"/>
        </w:rPr>
        <w:t>, povestirea</w:t>
      </w:r>
      <w:r w:rsidRPr="0069131C">
        <w:rPr>
          <w:rFonts w:eastAsia="Calibri"/>
          <w:sz w:val="26"/>
          <w:szCs w:val="26"/>
          <w:lang w:eastAsia="en-US"/>
        </w:rPr>
        <w:t>;</w:t>
      </w:r>
    </w:p>
    <w:p w:rsidR="0069131C" w:rsidRPr="0069131C" w:rsidRDefault="0069131C" w:rsidP="0069131C">
      <w:pPr>
        <w:numPr>
          <w:ilvl w:val="0"/>
          <w:numId w:val="14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Mijloace de învățământ: videoproiector;</w:t>
      </w:r>
    </w:p>
    <w:p w:rsidR="0069131C" w:rsidRPr="0069131C" w:rsidRDefault="0069131C" w:rsidP="0069131C">
      <w:pPr>
        <w:numPr>
          <w:ilvl w:val="0"/>
          <w:numId w:val="14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Forme de organizare a activității elevilor: activitate frontală și individuală;</w:t>
      </w:r>
    </w:p>
    <w:p w:rsidR="0069131C" w:rsidRPr="0069131C" w:rsidRDefault="0069131C" w:rsidP="0069131C">
      <w:pPr>
        <w:numPr>
          <w:ilvl w:val="0"/>
          <w:numId w:val="14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Locul de desfășurare: sala de clasă</w:t>
      </w:r>
    </w:p>
    <w:p w:rsidR="0069131C" w:rsidRPr="0069131C" w:rsidRDefault="0069131C" w:rsidP="0069131C">
      <w:pPr>
        <w:numPr>
          <w:ilvl w:val="0"/>
          <w:numId w:val="14"/>
        </w:numPr>
        <w:spacing w:after="160" w:line="276" w:lineRule="auto"/>
        <w:ind w:left="810" w:right="28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131C">
        <w:rPr>
          <w:rFonts w:eastAsia="Calibri"/>
          <w:sz w:val="26"/>
          <w:szCs w:val="26"/>
          <w:lang w:eastAsia="en-US"/>
        </w:rPr>
        <w:t>Timpul efectiv de lucru: 50 minute</w:t>
      </w:r>
    </w:p>
    <w:p w:rsidR="0069131C" w:rsidRPr="0069131C" w:rsidRDefault="0069131C" w:rsidP="0069131C">
      <w:pPr>
        <w:spacing w:line="276" w:lineRule="auto"/>
        <w:ind w:right="28"/>
        <w:jc w:val="both"/>
        <w:rPr>
          <w:sz w:val="26"/>
          <w:szCs w:val="26"/>
        </w:rPr>
      </w:pPr>
    </w:p>
    <w:p w:rsidR="00A37353" w:rsidRPr="0069131C" w:rsidRDefault="0069131C" w:rsidP="00A37353">
      <w:pPr>
        <w:spacing w:line="276" w:lineRule="auto"/>
        <w:ind w:left="1440" w:right="28"/>
        <w:rPr>
          <w:i/>
          <w:sz w:val="28"/>
          <w:szCs w:val="28"/>
        </w:rPr>
      </w:pPr>
      <w:r w:rsidRPr="0069131C">
        <w:rPr>
          <w:i/>
          <w:sz w:val="28"/>
          <w:szCs w:val="28"/>
        </w:rPr>
        <w:t>Desfășurarea lecției</w:t>
      </w:r>
    </w:p>
    <w:tbl>
      <w:tblPr>
        <w:tblStyle w:val="TableGrid1"/>
        <w:tblW w:w="10631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1586"/>
        <w:gridCol w:w="709"/>
        <w:gridCol w:w="3685"/>
        <w:gridCol w:w="1560"/>
        <w:gridCol w:w="1460"/>
        <w:gridCol w:w="1091"/>
      </w:tblGrid>
      <w:tr w:rsidR="0069131C" w:rsidRPr="0069131C" w:rsidTr="00583C84">
        <w:trPr>
          <w:trHeight w:val="345"/>
        </w:trPr>
        <w:tc>
          <w:tcPr>
            <w:tcW w:w="540" w:type="dxa"/>
            <w:vMerge w:val="restart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Nr. crt.</w:t>
            </w:r>
          </w:p>
        </w:tc>
        <w:tc>
          <w:tcPr>
            <w:tcW w:w="1586" w:type="dxa"/>
            <w:vMerge w:val="restart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Momentele lecției</w:t>
            </w:r>
          </w:p>
        </w:tc>
        <w:tc>
          <w:tcPr>
            <w:tcW w:w="709" w:type="dxa"/>
            <w:vMerge w:val="restart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18"/>
                <w:szCs w:val="18"/>
              </w:rPr>
            </w:pPr>
            <w:r w:rsidRPr="0069131C">
              <w:rPr>
                <w:sz w:val="18"/>
                <w:szCs w:val="18"/>
              </w:rPr>
              <w:t>Timp alocat</w:t>
            </w:r>
          </w:p>
        </w:tc>
        <w:tc>
          <w:tcPr>
            <w:tcW w:w="3685" w:type="dxa"/>
            <w:vMerge w:val="restart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Conținut</w:t>
            </w:r>
          </w:p>
        </w:tc>
        <w:tc>
          <w:tcPr>
            <w:tcW w:w="3020" w:type="dxa"/>
            <w:gridSpan w:val="2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Strategii de realizare</w:t>
            </w:r>
          </w:p>
        </w:tc>
        <w:tc>
          <w:tcPr>
            <w:tcW w:w="1091" w:type="dxa"/>
            <w:vMerge w:val="restart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Forma de organizare</w:t>
            </w:r>
          </w:p>
        </w:tc>
      </w:tr>
      <w:tr w:rsidR="0069131C" w:rsidRPr="0069131C" w:rsidTr="00583C84">
        <w:trPr>
          <w:trHeight w:val="390"/>
        </w:trPr>
        <w:tc>
          <w:tcPr>
            <w:tcW w:w="540" w:type="dxa"/>
            <w:vMerge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</w:pPr>
          </w:p>
        </w:tc>
        <w:tc>
          <w:tcPr>
            <w:tcW w:w="1586" w:type="dxa"/>
            <w:vMerge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Metode și procedee</w:t>
            </w:r>
          </w:p>
        </w:tc>
        <w:tc>
          <w:tcPr>
            <w:tcW w:w="14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Mijloace de învățământ</w:t>
            </w:r>
          </w:p>
        </w:tc>
        <w:tc>
          <w:tcPr>
            <w:tcW w:w="1091" w:type="dxa"/>
            <w:vMerge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</w:tr>
      <w:tr w:rsidR="0069131C" w:rsidRPr="0069131C" w:rsidTr="00583C84">
        <w:trPr>
          <w:trHeight w:val="1295"/>
        </w:trPr>
        <w:tc>
          <w:tcPr>
            <w:tcW w:w="54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Moment organizatoric și captarea atenției elevilor</w:t>
            </w:r>
          </w:p>
        </w:tc>
        <w:tc>
          <w:tcPr>
            <w:tcW w:w="709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  <w:r w:rsidRPr="0069131C">
              <w:rPr>
                <w:sz w:val="20"/>
                <w:szCs w:val="20"/>
              </w:rPr>
              <w:t>5</w:t>
            </w:r>
            <w:r w:rsidRPr="0069131C">
              <w:rPr>
                <w:sz w:val="28"/>
                <w:szCs w:val="28"/>
              </w:rPr>
              <w:t xml:space="preserve"> </w:t>
            </w:r>
            <w:r w:rsidRPr="0069131C">
              <w:rPr>
                <w:sz w:val="20"/>
                <w:szCs w:val="20"/>
              </w:rPr>
              <w:t>min.</w:t>
            </w:r>
          </w:p>
        </w:tc>
        <w:tc>
          <w:tcPr>
            <w:tcW w:w="3685" w:type="dxa"/>
          </w:tcPr>
          <w:p w:rsidR="00251D15" w:rsidRDefault="0069131C" w:rsidP="00DC3910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Sunt pregătite materialele necesare desfășurării în bune condiții a activității informativ</w:t>
            </w:r>
            <w:r w:rsidR="00251D15">
              <w:rPr>
                <w:sz w:val="20"/>
                <w:szCs w:val="20"/>
              </w:rPr>
              <w:t xml:space="preserve"> </w:t>
            </w:r>
            <w:r w:rsidRPr="0069131C">
              <w:rPr>
                <w:sz w:val="20"/>
                <w:szCs w:val="20"/>
              </w:rPr>
              <w:t xml:space="preserve">- preventive și </w:t>
            </w:r>
            <w:r w:rsidR="00251D15">
              <w:rPr>
                <w:sz w:val="20"/>
                <w:szCs w:val="20"/>
              </w:rPr>
              <w:t>sunt prezentate succint informații cu privire la identitatea și structura din care face parte polițistul.</w:t>
            </w:r>
          </w:p>
          <w:p w:rsidR="0069131C" w:rsidRPr="0069131C" w:rsidRDefault="00251D15" w:rsidP="00DC3910">
            <w:pPr>
              <w:spacing w:line="276" w:lineRule="auto"/>
              <w:ind w:right="2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S</w:t>
            </w:r>
            <w:r w:rsidR="0069131C" w:rsidRPr="0069131C">
              <w:rPr>
                <w:sz w:val="20"/>
                <w:szCs w:val="20"/>
              </w:rPr>
              <w:t xml:space="preserve">e prezintă </w:t>
            </w:r>
            <w:r w:rsidR="00DC3910">
              <w:rPr>
                <w:sz w:val="20"/>
                <w:szCs w:val="20"/>
              </w:rPr>
              <w:t>cu ajutorul</w:t>
            </w:r>
            <w:r w:rsidR="0069131C" w:rsidRPr="0069131C">
              <w:rPr>
                <w:sz w:val="20"/>
                <w:szCs w:val="20"/>
              </w:rPr>
              <w:t xml:space="preserve"> videoproiector</w:t>
            </w:r>
            <w:r w:rsidR="00DC3910">
              <w:rPr>
                <w:sz w:val="20"/>
                <w:szCs w:val="20"/>
              </w:rPr>
              <w:t>ului</w:t>
            </w:r>
            <w:r w:rsidR="0069131C" w:rsidRPr="0069131C">
              <w:rPr>
                <w:sz w:val="20"/>
                <w:szCs w:val="20"/>
              </w:rPr>
              <w:t xml:space="preserve"> un  caz sugestiv privind fenomenul de violență în școli</w:t>
            </w:r>
            <w:r>
              <w:rPr>
                <w:sz w:val="20"/>
                <w:szCs w:val="20"/>
              </w:rPr>
              <w:t xml:space="preserve"> / poveste terapeutică</w:t>
            </w:r>
            <w:r w:rsidR="0069131C" w:rsidRPr="0069131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Conversația</w:t>
            </w:r>
          </w:p>
          <w:p w:rsidR="00251D15" w:rsidRPr="0069131C" w:rsidRDefault="00A7323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Povestirea</w:t>
            </w:r>
          </w:p>
        </w:tc>
        <w:tc>
          <w:tcPr>
            <w:tcW w:w="14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Videopr</w:t>
            </w:r>
            <w:r w:rsidR="00583C84">
              <w:rPr>
                <w:sz w:val="20"/>
                <w:szCs w:val="20"/>
              </w:rPr>
              <w:t>o</w:t>
            </w:r>
            <w:r w:rsidRPr="0069131C">
              <w:rPr>
                <w:sz w:val="20"/>
                <w:szCs w:val="20"/>
              </w:rPr>
              <w:t>iector</w:t>
            </w:r>
          </w:p>
        </w:tc>
        <w:tc>
          <w:tcPr>
            <w:tcW w:w="1091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Frontal</w:t>
            </w:r>
          </w:p>
        </w:tc>
      </w:tr>
      <w:tr w:rsidR="0069131C" w:rsidRPr="0069131C" w:rsidTr="00583C84">
        <w:trPr>
          <w:trHeight w:val="530"/>
        </w:trPr>
        <w:tc>
          <w:tcPr>
            <w:tcW w:w="540" w:type="dxa"/>
          </w:tcPr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Pregătirea elevilor pentru </w:t>
            </w:r>
            <w:r w:rsidRPr="0069131C">
              <w:rPr>
                <w:sz w:val="20"/>
                <w:szCs w:val="20"/>
              </w:rPr>
              <w:lastRenderedPageBreak/>
              <w:t>asimilarea noilor cunoștințe</w:t>
            </w:r>
          </w:p>
        </w:tc>
        <w:tc>
          <w:tcPr>
            <w:tcW w:w="709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  <w:r w:rsidRPr="0069131C">
              <w:rPr>
                <w:sz w:val="20"/>
                <w:szCs w:val="20"/>
              </w:rPr>
              <w:lastRenderedPageBreak/>
              <w:t>10</w:t>
            </w:r>
            <w:r w:rsidRPr="0069131C">
              <w:rPr>
                <w:sz w:val="28"/>
                <w:szCs w:val="28"/>
              </w:rPr>
              <w:t xml:space="preserve"> </w:t>
            </w:r>
            <w:r w:rsidRPr="0069131C">
              <w:rPr>
                <w:sz w:val="20"/>
                <w:szCs w:val="20"/>
              </w:rPr>
              <w:t>min.</w:t>
            </w:r>
          </w:p>
        </w:tc>
        <w:tc>
          <w:tcPr>
            <w:tcW w:w="3685" w:type="dxa"/>
          </w:tcPr>
          <w:p w:rsidR="0069131C" w:rsidRPr="0069131C" w:rsidRDefault="0069131C" w:rsidP="00583C84">
            <w:pPr>
              <w:tabs>
                <w:tab w:val="left" w:pos="331"/>
              </w:tabs>
              <w:spacing w:line="276" w:lineRule="auto"/>
              <w:ind w:right="28"/>
              <w:jc w:val="both"/>
              <w:rPr>
                <w:sz w:val="20"/>
                <w:szCs w:val="20"/>
                <w:lang w:val="en-US"/>
              </w:rPr>
            </w:pPr>
            <w:r w:rsidRPr="0069131C">
              <w:rPr>
                <w:sz w:val="20"/>
                <w:szCs w:val="20"/>
              </w:rPr>
              <w:lastRenderedPageBreak/>
              <w:t xml:space="preserve">      Sunt rugați să citească cu atenție cazul prezentat și să se gândească ce anume l-a determinat să acționeze în acest fel, care </w:t>
            </w:r>
            <w:r w:rsidRPr="0069131C">
              <w:rPr>
                <w:sz w:val="20"/>
                <w:szCs w:val="20"/>
              </w:rPr>
              <w:lastRenderedPageBreak/>
              <w:t>sunt cauzele care determină un comportament agresiv și care sunt urmările faptelor săvârșite.</w:t>
            </w:r>
            <w:r w:rsidRPr="0069131C">
              <w:rPr>
                <w:sz w:val="20"/>
                <w:szCs w:val="20"/>
                <w:lang w:val="en-US"/>
              </w:rPr>
              <w:t xml:space="preserve"> Sunt purtate discuții asupra celor constatate. </w:t>
            </w: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Observația</w:t>
            </w: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Problematizarea</w:t>
            </w:r>
          </w:p>
        </w:tc>
        <w:tc>
          <w:tcPr>
            <w:tcW w:w="14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Individual</w:t>
            </w: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Frontal</w:t>
            </w:r>
          </w:p>
          <w:p w:rsidR="0069131C" w:rsidRPr="0069131C" w:rsidRDefault="0069131C" w:rsidP="0069131C">
            <w:pPr>
              <w:rPr>
                <w:sz w:val="20"/>
                <w:szCs w:val="20"/>
              </w:rPr>
            </w:pPr>
          </w:p>
        </w:tc>
      </w:tr>
      <w:tr w:rsidR="0069131C" w:rsidRPr="0069131C" w:rsidTr="00583C84">
        <w:tc>
          <w:tcPr>
            <w:tcW w:w="540" w:type="dxa"/>
          </w:tcPr>
          <w:p w:rsid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Precizarea titlului și a obiectivelor</w:t>
            </w:r>
          </w:p>
        </w:tc>
        <w:tc>
          <w:tcPr>
            <w:tcW w:w="709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5 min.</w:t>
            </w:r>
          </w:p>
        </w:tc>
        <w:tc>
          <w:tcPr>
            <w:tcW w:w="3685" w:type="dxa"/>
          </w:tcPr>
          <w:p w:rsidR="0069131C" w:rsidRPr="0069131C" w:rsidRDefault="0069131C" w:rsidP="00583C84">
            <w:pPr>
              <w:tabs>
                <w:tab w:val="left" w:pos="331"/>
              </w:tabs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 Se prezintă titlul lecției:___________   și sunt prezentate obiectivele. 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La finalul lecției toți elevii trebuie:</w:t>
            </w:r>
          </w:p>
          <w:p w:rsidR="0069131C" w:rsidRPr="0069131C" w:rsidRDefault="0069131C" w:rsidP="00583C84">
            <w:pPr>
              <w:numPr>
                <w:ilvl w:val="0"/>
                <w:numId w:val="16"/>
              </w:numPr>
              <w:spacing w:line="276" w:lineRule="auto"/>
              <w:ind w:right="2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131C">
              <w:rPr>
                <w:rFonts w:eastAsia="Calibri"/>
                <w:sz w:val="20"/>
                <w:szCs w:val="20"/>
                <w:lang w:eastAsia="en-US"/>
              </w:rPr>
              <w:t xml:space="preserve">Să înțeleagă consecințele (fizice, psihologice și juridice) faptelor de </w:t>
            </w:r>
            <w:r w:rsidRPr="0069131C">
              <w:rPr>
                <w:rFonts w:eastAsia="Calibri"/>
                <w:i/>
                <w:sz w:val="20"/>
                <w:szCs w:val="20"/>
                <w:lang w:eastAsia="en-US"/>
              </w:rPr>
              <w:t>port sau folosire fără drept de obiecte periculoase;</w:t>
            </w:r>
          </w:p>
          <w:p w:rsidR="0069131C" w:rsidRPr="0069131C" w:rsidRDefault="0069131C" w:rsidP="00583C84">
            <w:pPr>
              <w:numPr>
                <w:ilvl w:val="0"/>
                <w:numId w:val="16"/>
              </w:numPr>
              <w:spacing w:line="276" w:lineRule="auto"/>
              <w:ind w:right="2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131C">
              <w:rPr>
                <w:rFonts w:eastAsia="Calibri"/>
                <w:sz w:val="20"/>
                <w:szCs w:val="20"/>
                <w:lang w:eastAsia="en-US"/>
              </w:rPr>
              <w:t>Să înțeleagă importanța rolului personal în diminuarea acestui fenomen;</w:t>
            </w:r>
          </w:p>
          <w:p w:rsidR="0069131C" w:rsidRPr="0069131C" w:rsidRDefault="0069131C" w:rsidP="00583C84">
            <w:pPr>
              <w:numPr>
                <w:ilvl w:val="0"/>
                <w:numId w:val="16"/>
              </w:numPr>
              <w:spacing w:line="276" w:lineRule="auto"/>
              <w:ind w:right="28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131C">
              <w:rPr>
                <w:rFonts w:eastAsia="Calibri"/>
                <w:sz w:val="20"/>
                <w:szCs w:val="20"/>
                <w:lang w:eastAsia="en-US"/>
              </w:rPr>
              <w:t>Să dea dovadă de discernământ în luarea deciziilor.</w:t>
            </w: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Explicația</w:t>
            </w:r>
          </w:p>
        </w:tc>
        <w:tc>
          <w:tcPr>
            <w:tcW w:w="14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Frontal</w:t>
            </w:r>
          </w:p>
        </w:tc>
      </w:tr>
      <w:tr w:rsidR="0069131C" w:rsidRPr="0069131C" w:rsidTr="00583C84">
        <w:tc>
          <w:tcPr>
            <w:tcW w:w="54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A37353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Comunicarea / însușirea noilor cunoștințe</w:t>
            </w:r>
          </w:p>
        </w:tc>
        <w:tc>
          <w:tcPr>
            <w:tcW w:w="709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15 min.</w:t>
            </w:r>
          </w:p>
        </w:tc>
        <w:tc>
          <w:tcPr>
            <w:tcW w:w="3685" w:type="dxa"/>
          </w:tcPr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 Pe baza materialelor prezentate (structurate pe fiecare ciclu de studiu) sunt purtate discuții despre ce este violența șc</w:t>
            </w:r>
            <w:r w:rsidR="00DC3910">
              <w:rPr>
                <w:sz w:val="20"/>
                <w:szCs w:val="20"/>
              </w:rPr>
              <w:t>olară, diferența dintre violența fizică</w:t>
            </w:r>
            <w:r w:rsidRPr="0069131C">
              <w:rPr>
                <w:sz w:val="20"/>
                <w:szCs w:val="20"/>
              </w:rPr>
              <w:t xml:space="preserve"> și bullying, factorii determinanți ai agresivității.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Se prezintă noțiunea de infracțiune, răspunderea penală a minorilor și cauzele justificative – legitima apărare.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Se prezintă infracțiunea de </w:t>
            </w:r>
            <w:r w:rsidRPr="0069131C">
              <w:rPr>
                <w:i/>
                <w:sz w:val="20"/>
                <w:szCs w:val="20"/>
              </w:rPr>
              <w:t xml:space="preserve">port sau folosire fără drept de obiecte periculoase </w:t>
            </w:r>
            <w:r w:rsidRPr="0069131C">
              <w:rPr>
                <w:sz w:val="20"/>
                <w:szCs w:val="20"/>
              </w:rPr>
              <w:t>și sunt explicate consecințele fizice, psihologice și juridice rezultate în urma comiterii faptei.</w:t>
            </w: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Conversația</w:t>
            </w: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Explicația</w:t>
            </w:r>
          </w:p>
        </w:tc>
        <w:tc>
          <w:tcPr>
            <w:tcW w:w="1460" w:type="dxa"/>
          </w:tcPr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583C84" w:rsidP="00583C84">
            <w:pPr>
              <w:spacing w:line="276" w:lineRule="auto"/>
              <w:ind w:right="28"/>
              <w:rPr>
                <w:sz w:val="28"/>
                <w:szCs w:val="28"/>
              </w:rPr>
            </w:pPr>
            <w:r w:rsidRPr="0069131C">
              <w:rPr>
                <w:sz w:val="20"/>
                <w:szCs w:val="20"/>
              </w:rPr>
              <w:t>Videopr</w:t>
            </w:r>
            <w:r>
              <w:rPr>
                <w:sz w:val="20"/>
                <w:szCs w:val="20"/>
              </w:rPr>
              <w:t>o</w:t>
            </w:r>
            <w:r w:rsidRPr="0069131C">
              <w:rPr>
                <w:sz w:val="20"/>
                <w:szCs w:val="20"/>
              </w:rPr>
              <w:t>iector</w:t>
            </w:r>
          </w:p>
        </w:tc>
        <w:tc>
          <w:tcPr>
            <w:tcW w:w="1091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Frontal</w:t>
            </w:r>
          </w:p>
        </w:tc>
      </w:tr>
      <w:tr w:rsidR="0069131C" w:rsidRPr="0069131C" w:rsidTr="00583C84">
        <w:trPr>
          <w:trHeight w:val="5903"/>
        </w:trPr>
        <w:tc>
          <w:tcPr>
            <w:tcW w:w="54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Fixarea cunoștințelor predate</w:t>
            </w:r>
          </w:p>
        </w:tc>
        <w:tc>
          <w:tcPr>
            <w:tcW w:w="709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15 min.</w:t>
            </w:r>
          </w:p>
        </w:tc>
        <w:tc>
          <w:tcPr>
            <w:tcW w:w="3685" w:type="dxa"/>
          </w:tcPr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 Se </w:t>
            </w:r>
            <w:r w:rsidR="00DC3910">
              <w:rPr>
                <w:sz w:val="20"/>
                <w:szCs w:val="20"/>
              </w:rPr>
              <w:t>prezintă</w:t>
            </w:r>
            <w:r w:rsidRPr="0069131C">
              <w:rPr>
                <w:sz w:val="20"/>
                <w:szCs w:val="20"/>
              </w:rPr>
              <w:t xml:space="preserve"> un nou studiu de caz relevant pentru tema prezentată, iar elevii sunt rugați să joace rolurile de autor, victimă, martor, cadru didactic.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Sunt analizate acțiunile elevilor implicați în jocul de rol. „Actorii” primesc câteva instrucțiuni,  însă se încurajează</w:t>
            </w:r>
            <w:r w:rsidRPr="0069131C">
              <w:t xml:space="preserve"> </w:t>
            </w:r>
            <w:r w:rsidRPr="0069131C">
              <w:rPr>
                <w:sz w:val="20"/>
                <w:szCs w:val="20"/>
              </w:rPr>
              <w:t>creativitatea, improvizația, originalitatea.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 Sunt purtate discuții cu privire la factorii care au determinat fapta de port și folosire de obiecte periculoase, la ,,beneficiile</w:t>
            </w:r>
            <w:r w:rsidRPr="0069131C">
              <w:rPr>
                <w:sz w:val="20"/>
                <w:szCs w:val="20"/>
                <w:lang w:val="en-US"/>
              </w:rPr>
              <w:t>”</w:t>
            </w:r>
            <w:r w:rsidRPr="0069131C">
              <w:rPr>
                <w:sz w:val="20"/>
                <w:szCs w:val="20"/>
              </w:rPr>
              <w:t xml:space="preserve"> obținute în urma comiterii faptei, la cum se simte cel agresat (supărat, îngrijorat, temător, vinovat, neimportant, slab, umilit, furios, etc.), care sunt consecințele juridice.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 xml:space="preserve">    Elevii sunt încurajați să pună întrebări și să-și exprime propriile păreri în legătură cu subiectul abordat.</w:t>
            </w:r>
          </w:p>
          <w:p w:rsidR="0069131C" w:rsidRPr="0069131C" w:rsidRDefault="0069131C" w:rsidP="00583C84">
            <w:pPr>
              <w:spacing w:line="276" w:lineRule="auto"/>
              <w:ind w:right="28"/>
              <w:jc w:val="both"/>
              <w:rPr>
                <w:sz w:val="20"/>
                <w:szCs w:val="20"/>
                <w:lang w:val="en-US"/>
              </w:rPr>
            </w:pPr>
            <w:r w:rsidRPr="0069131C">
              <w:rPr>
                <w:sz w:val="20"/>
                <w:szCs w:val="20"/>
              </w:rPr>
              <w:t xml:space="preserve">    De asemenea, se pune accent pe importanța rolului personal în diminuarea fenomenului de violență școlară și faptul că orice neînțelegere poate fi rezolvată și   într-un mod amiabil.</w:t>
            </w:r>
          </w:p>
        </w:tc>
        <w:tc>
          <w:tcPr>
            <w:tcW w:w="1560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Joc de rol</w:t>
            </w:r>
          </w:p>
          <w:p w:rsidR="00583C84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583C84" w:rsidRPr="0069131C" w:rsidRDefault="00583C84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Conversația</w:t>
            </w:r>
          </w:p>
        </w:tc>
        <w:tc>
          <w:tcPr>
            <w:tcW w:w="1460" w:type="dxa"/>
          </w:tcPr>
          <w:p w:rsidR="0069131C" w:rsidRPr="0069131C" w:rsidRDefault="00D93BB4" w:rsidP="0069131C">
            <w:pPr>
              <w:spacing w:line="276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83C84" w:rsidRPr="0069131C">
              <w:rPr>
                <w:sz w:val="20"/>
                <w:szCs w:val="20"/>
              </w:rPr>
              <w:t>Videopr</w:t>
            </w:r>
            <w:r w:rsidR="00583C84">
              <w:rPr>
                <w:sz w:val="20"/>
                <w:szCs w:val="20"/>
              </w:rPr>
              <w:t>o</w:t>
            </w:r>
            <w:r w:rsidR="00583C84" w:rsidRPr="0069131C">
              <w:rPr>
                <w:sz w:val="20"/>
                <w:szCs w:val="20"/>
              </w:rPr>
              <w:t>iector</w:t>
            </w:r>
          </w:p>
        </w:tc>
        <w:tc>
          <w:tcPr>
            <w:tcW w:w="1091" w:type="dxa"/>
          </w:tcPr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 w:rsidRPr="0069131C">
              <w:rPr>
                <w:sz w:val="20"/>
                <w:szCs w:val="20"/>
              </w:rPr>
              <w:t>Frontal</w:t>
            </w:r>
          </w:p>
          <w:p w:rsidR="0069131C" w:rsidRPr="0069131C" w:rsidRDefault="0069131C" w:rsidP="0069131C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</w:p>
        </w:tc>
      </w:tr>
    </w:tbl>
    <w:p w:rsidR="00D23728" w:rsidRPr="0069131C" w:rsidRDefault="00D23728" w:rsidP="0069131C">
      <w:pPr>
        <w:spacing w:line="276" w:lineRule="auto"/>
        <w:jc w:val="both"/>
        <w:rPr>
          <w:rFonts w:eastAsia="SimSun"/>
          <w:color w:val="000000"/>
          <w:sz w:val="28"/>
          <w:szCs w:val="28"/>
          <w:lang w:eastAsia="zh-CN"/>
        </w:rPr>
      </w:pPr>
    </w:p>
    <w:sectPr w:rsidR="00D23728" w:rsidRPr="0069131C" w:rsidSect="0069131C">
      <w:footerReference w:type="even" r:id="rId9"/>
      <w:footerReference w:type="default" r:id="rId10"/>
      <w:pgSz w:w="12240" w:h="15840"/>
      <w:pgMar w:top="540" w:right="900" w:bottom="0" w:left="16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BF" w:rsidRDefault="007604BF" w:rsidP="00110626">
      <w:r>
        <w:separator/>
      </w:r>
    </w:p>
  </w:endnote>
  <w:endnote w:type="continuationSeparator" w:id="0">
    <w:p w:rsidR="007604BF" w:rsidRDefault="007604BF" w:rsidP="001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F5" w:rsidRDefault="00884B05" w:rsidP="00114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61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3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92BF5" w:rsidRDefault="005912E8" w:rsidP="009B08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28" w:rsidRPr="00D837DD" w:rsidRDefault="003E5439" w:rsidP="003E5439">
    <w:pPr>
      <w:jc w:val="both"/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37DD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D23728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</w:p>
  <w:p w:rsidR="00F43953" w:rsidRPr="00F43953" w:rsidRDefault="005912E8" w:rsidP="0069131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BF" w:rsidRDefault="007604BF" w:rsidP="00110626">
      <w:r>
        <w:separator/>
      </w:r>
    </w:p>
  </w:footnote>
  <w:footnote w:type="continuationSeparator" w:id="0">
    <w:p w:rsidR="007604BF" w:rsidRDefault="007604BF" w:rsidP="0011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2C9"/>
      </v:shape>
    </w:pict>
  </w:numPicBullet>
  <w:abstractNum w:abstractNumId="0">
    <w:nsid w:val="0C1C4CD4"/>
    <w:multiLevelType w:val="hybridMultilevel"/>
    <w:tmpl w:val="EE7CABBA"/>
    <w:lvl w:ilvl="0" w:tplc="C6B24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B6F5F"/>
    <w:multiLevelType w:val="hybridMultilevel"/>
    <w:tmpl w:val="EA322E5E"/>
    <w:lvl w:ilvl="0" w:tplc="B002B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6696"/>
    <w:multiLevelType w:val="hybridMultilevel"/>
    <w:tmpl w:val="2BC6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01B"/>
    <w:multiLevelType w:val="hybridMultilevel"/>
    <w:tmpl w:val="B8EEF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77"/>
    <w:multiLevelType w:val="hybridMultilevel"/>
    <w:tmpl w:val="08F0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21F2"/>
    <w:multiLevelType w:val="hybridMultilevel"/>
    <w:tmpl w:val="E9EC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A0F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1373"/>
    <w:multiLevelType w:val="hybridMultilevel"/>
    <w:tmpl w:val="6E482EF0"/>
    <w:lvl w:ilvl="0" w:tplc="FCEA5C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7497B94"/>
    <w:multiLevelType w:val="hybridMultilevel"/>
    <w:tmpl w:val="20107E00"/>
    <w:lvl w:ilvl="0" w:tplc="005AF5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BE0171"/>
    <w:multiLevelType w:val="hybridMultilevel"/>
    <w:tmpl w:val="C2780B48"/>
    <w:lvl w:ilvl="0" w:tplc="8688AAA4">
      <w:numFmt w:val="bullet"/>
      <w:lvlText w:val="-"/>
      <w:lvlJc w:val="left"/>
      <w:pPr>
        <w:ind w:left="1101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">
    <w:nsid w:val="4CA0601A"/>
    <w:multiLevelType w:val="hybridMultilevel"/>
    <w:tmpl w:val="4688561C"/>
    <w:lvl w:ilvl="0" w:tplc="E76819C6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E640776"/>
    <w:multiLevelType w:val="hybridMultilevel"/>
    <w:tmpl w:val="F43428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877"/>
    <w:multiLevelType w:val="hybridMultilevel"/>
    <w:tmpl w:val="338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61C5"/>
    <w:multiLevelType w:val="hybridMultilevel"/>
    <w:tmpl w:val="F6468C06"/>
    <w:lvl w:ilvl="0" w:tplc="41B2AA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8494B"/>
    <w:multiLevelType w:val="hybridMultilevel"/>
    <w:tmpl w:val="B5028D50"/>
    <w:lvl w:ilvl="0" w:tplc="964C8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25DE"/>
    <w:multiLevelType w:val="hybridMultilevel"/>
    <w:tmpl w:val="FF6C88C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86717B5"/>
    <w:multiLevelType w:val="hybridMultilevel"/>
    <w:tmpl w:val="3BE064E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70635FA9"/>
    <w:multiLevelType w:val="hybridMultilevel"/>
    <w:tmpl w:val="285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80512"/>
    <w:multiLevelType w:val="hybridMultilevel"/>
    <w:tmpl w:val="AB00A49A"/>
    <w:lvl w:ilvl="0" w:tplc="36A0F5E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6"/>
    <w:rsid w:val="0001211E"/>
    <w:rsid w:val="00014459"/>
    <w:rsid w:val="000206D0"/>
    <w:rsid w:val="00020DE6"/>
    <w:rsid w:val="0002309B"/>
    <w:rsid w:val="000272FC"/>
    <w:rsid w:val="00036CF4"/>
    <w:rsid w:val="0004257F"/>
    <w:rsid w:val="00050034"/>
    <w:rsid w:val="000535E5"/>
    <w:rsid w:val="000625DE"/>
    <w:rsid w:val="00063C26"/>
    <w:rsid w:val="00066A8F"/>
    <w:rsid w:val="00070404"/>
    <w:rsid w:val="00072AD2"/>
    <w:rsid w:val="00075200"/>
    <w:rsid w:val="000765A2"/>
    <w:rsid w:val="000838D9"/>
    <w:rsid w:val="00084E0B"/>
    <w:rsid w:val="000852B6"/>
    <w:rsid w:val="00092FF3"/>
    <w:rsid w:val="000A00D8"/>
    <w:rsid w:val="000A0B72"/>
    <w:rsid w:val="000A78D1"/>
    <w:rsid w:val="000B15CF"/>
    <w:rsid w:val="000B4A62"/>
    <w:rsid w:val="000B78AD"/>
    <w:rsid w:val="000D16AB"/>
    <w:rsid w:val="000D1941"/>
    <w:rsid w:val="000D214C"/>
    <w:rsid w:val="000D468B"/>
    <w:rsid w:val="000D7D8D"/>
    <w:rsid w:val="000F214F"/>
    <w:rsid w:val="00101A34"/>
    <w:rsid w:val="00110626"/>
    <w:rsid w:val="0011157A"/>
    <w:rsid w:val="001117F6"/>
    <w:rsid w:val="001128CD"/>
    <w:rsid w:val="0011563F"/>
    <w:rsid w:val="0013108A"/>
    <w:rsid w:val="001418DD"/>
    <w:rsid w:val="00143CCE"/>
    <w:rsid w:val="00146781"/>
    <w:rsid w:val="001516B3"/>
    <w:rsid w:val="00154B3A"/>
    <w:rsid w:val="001563C4"/>
    <w:rsid w:val="00163265"/>
    <w:rsid w:val="00166322"/>
    <w:rsid w:val="00166525"/>
    <w:rsid w:val="001766BE"/>
    <w:rsid w:val="001946BB"/>
    <w:rsid w:val="00195796"/>
    <w:rsid w:val="001B3B44"/>
    <w:rsid w:val="001C00B9"/>
    <w:rsid w:val="001C205F"/>
    <w:rsid w:val="001C6829"/>
    <w:rsid w:val="001D78F8"/>
    <w:rsid w:val="001E0CD2"/>
    <w:rsid w:val="00200DD0"/>
    <w:rsid w:val="00202FE6"/>
    <w:rsid w:val="0020319D"/>
    <w:rsid w:val="0020793A"/>
    <w:rsid w:val="00210E6B"/>
    <w:rsid w:val="00217822"/>
    <w:rsid w:val="00217D91"/>
    <w:rsid w:val="00222682"/>
    <w:rsid w:val="00227C38"/>
    <w:rsid w:val="00235EF7"/>
    <w:rsid w:val="00251D15"/>
    <w:rsid w:val="0025332E"/>
    <w:rsid w:val="00253ECA"/>
    <w:rsid w:val="00261419"/>
    <w:rsid w:val="0026745D"/>
    <w:rsid w:val="00267E25"/>
    <w:rsid w:val="002709B6"/>
    <w:rsid w:val="00272014"/>
    <w:rsid w:val="0028225F"/>
    <w:rsid w:val="00287561"/>
    <w:rsid w:val="00293410"/>
    <w:rsid w:val="0029372E"/>
    <w:rsid w:val="002A2843"/>
    <w:rsid w:val="002A537D"/>
    <w:rsid w:val="002B4106"/>
    <w:rsid w:val="002B52CC"/>
    <w:rsid w:val="002C75AB"/>
    <w:rsid w:val="002D00B9"/>
    <w:rsid w:val="002D23E3"/>
    <w:rsid w:val="002D2736"/>
    <w:rsid w:val="002D3A2C"/>
    <w:rsid w:val="002D635A"/>
    <w:rsid w:val="002D7B27"/>
    <w:rsid w:val="002E04F7"/>
    <w:rsid w:val="002E2835"/>
    <w:rsid w:val="002E7D97"/>
    <w:rsid w:val="0030171C"/>
    <w:rsid w:val="00304E01"/>
    <w:rsid w:val="00306827"/>
    <w:rsid w:val="00314866"/>
    <w:rsid w:val="00316321"/>
    <w:rsid w:val="00316BF2"/>
    <w:rsid w:val="003210CB"/>
    <w:rsid w:val="00330389"/>
    <w:rsid w:val="0033247C"/>
    <w:rsid w:val="00336FC2"/>
    <w:rsid w:val="00340D4F"/>
    <w:rsid w:val="00341158"/>
    <w:rsid w:val="00355DC1"/>
    <w:rsid w:val="003562E5"/>
    <w:rsid w:val="00367830"/>
    <w:rsid w:val="00370D9C"/>
    <w:rsid w:val="00373918"/>
    <w:rsid w:val="00377CD1"/>
    <w:rsid w:val="003827F4"/>
    <w:rsid w:val="00393991"/>
    <w:rsid w:val="00393E6F"/>
    <w:rsid w:val="003A29A2"/>
    <w:rsid w:val="003A55EF"/>
    <w:rsid w:val="003B0FAC"/>
    <w:rsid w:val="003B6FFD"/>
    <w:rsid w:val="003C0702"/>
    <w:rsid w:val="003C2982"/>
    <w:rsid w:val="003C5EF4"/>
    <w:rsid w:val="003C791F"/>
    <w:rsid w:val="003D1423"/>
    <w:rsid w:val="003E450C"/>
    <w:rsid w:val="003E5439"/>
    <w:rsid w:val="003F4AEB"/>
    <w:rsid w:val="003F6321"/>
    <w:rsid w:val="0040089F"/>
    <w:rsid w:val="00400EA0"/>
    <w:rsid w:val="004023A6"/>
    <w:rsid w:val="004038BB"/>
    <w:rsid w:val="0041142A"/>
    <w:rsid w:val="004368F8"/>
    <w:rsid w:val="00437CAA"/>
    <w:rsid w:val="00440457"/>
    <w:rsid w:val="004435BA"/>
    <w:rsid w:val="00444661"/>
    <w:rsid w:val="004454C6"/>
    <w:rsid w:val="00450D50"/>
    <w:rsid w:val="00455CEE"/>
    <w:rsid w:val="00460776"/>
    <w:rsid w:val="00461C80"/>
    <w:rsid w:val="004633D2"/>
    <w:rsid w:val="00465103"/>
    <w:rsid w:val="00466075"/>
    <w:rsid w:val="0046783B"/>
    <w:rsid w:val="00470258"/>
    <w:rsid w:val="00482F93"/>
    <w:rsid w:val="00484D61"/>
    <w:rsid w:val="00485955"/>
    <w:rsid w:val="00490A18"/>
    <w:rsid w:val="00490A9D"/>
    <w:rsid w:val="004949B7"/>
    <w:rsid w:val="004A4126"/>
    <w:rsid w:val="004A4BBD"/>
    <w:rsid w:val="004A6818"/>
    <w:rsid w:val="004A6E07"/>
    <w:rsid w:val="004B4E80"/>
    <w:rsid w:val="004C751B"/>
    <w:rsid w:val="004D4B58"/>
    <w:rsid w:val="004E01A2"/>
    <w:rsid w:val="004E05BD"/>
    <w:rsid w:val="004E5CE1"/>
    <w:rsid w:val="004F0FEC"/>
    <w:rsid w:val="004F47ED"/>
    <w:rsid w:val="004F5A0A"/>
    <w:rsid w:val="00504A4C"/>
    <w:rsid w:val="005061EF"/>
    <w:rsid w:val="005155BA"/>
    <w:rsid w:val="00520C94"/>
    <w:rsid w:val="0052704F"/>
    <w:rsid w:val="00532696"/>
    <w:rsid w:val="00533457"/>
    <w:rsid w:val="00536AFC"/>
    <w:rsid w:val="00537C2A"/>
    <w:rsid w:val="005461F3"/>
    <w:rsid w:val="00547ABD"/>
    <w:rsid w:val="00554BE0"/>
    <w:rsid w:val="005608AB"/>
    <w:rsid w:val="00566131"/>
    <w:rsid w:val="00572E23"/>
    <w:rsid w:val="00575407"/>
    <w:rsid w:val="00576BCD"/>
    <w:rsid w:val="00576CAD"/>
    <w:rsid w:val="005812EC"/>
    <w:rsid w:val="00583587"/>
    <w:rsid w:val="00583C84"/>
    <w:rsid w:val="00583DD9"/>
    <w:rsid w:val="00586340"/>
    <w:rsid w:val="005912E8"/>
    <w:rsid w:val="005A0C88"/>
    <w:rsid w:val="005A4AB6"/>
    <w:rsid w:val="005A71F3"/>
    <w:rsid w:val="005B3549"/>
    <w:rsid w:val="005C69D4"/>
    <w:rsid w:val="005E7609"/>
    <w:rsid w:val="005F4435"/>
    <w:rsid w:val="006047D8"/>
    <w:rsid w:val="00605BA3"/>
    <w:rsid w:val="00623266"/>
    <w:rsid w:val="00623F7F"/>
    <w:rsid w:val="00624353"/>
    <w:rsid w:val="00624A91"/>
    <w:rsid w:val="00630DB9"/>
    <w:rsid w:val="00633A9A"/>
    <w:rsid w:val="00633B8A"/>
    <w:rsid w:val="006375BC"/>
    <w:rsid w:val="00652E08"/>
    <w:rsid w:val="0066219D"/>
    <w:rsid w:val="00667E0F"/>
    <w:rsid w:val="00673151"/>
    <w:rsid w:val="006754FE"/>
    <w:rsid w:val="00677D33"/>
    <w:rsid w:val="0068274E"/>
    <w:rsid w:val="00683F35"/>
    <w:rsid w:val="0069131C"/>
    <w:rsid w:val="00691610"/>
    <w:rsid w:val="006A2539"/>
    <w:rsid w:val="006A5296"/>
    <w:rsid w:val="006A6662"/>
    <w:rsid w:val="006B60B6"/>
    <w:rsid w:val="006C3DED"/>
    <w:rsid w:val="006C600C"/>
    <w:rsid w:val="006D0F97"/>
    <w:rsid w:val="006D1560"/>
    <w:rsid w:val="006D1A87"/>
    <w:rsid w:val="006D209F"/>
    <w:rsid w:val="006D2EB9"/>
    <w:rsid w:val="006D2EFE"/>
    <w:rsid w:val="006D46B2"/>
    <w:rsid w:val="006D5CC6"/>
    <w:rsid w:val="006E1C6B"/>
    <w:rsid w:val="006E47DF"/>
    <w:rsid w:val="006F03F9"/>
    <w:rsid w:val="006F5CBF"/>
    <w:rsid w:val="0070073C"/>
    <w:rsid w:val="00703C10"/>
    <w:rsid w:val="00713CCA"/>
    <w:rsid w:val="00715BD1"/>
    <w:rsid w:val="00724AE6"/>
    <w:rsid w:val="00724CC2"/>
    <w:rsid w:val="007266DD"/>
    <w:rsid w:val="007355A6"/>
    <w:rsid w:val="00736CC4"/>
    <w:rsid w:val="00745C79"/>
    <w:rsid w:val="0074720E"/>
    <w:rsid w:val="00753DC3"/>
    <w:rsid w:val="007578E8"/>
    <w:rsid w:val="007604BF"/>
    <w:rsid w:val="00760C19"/>
    <w:rsid w:val="00764FF2"/>
    <w:rsid w:val="00765B82"/>
    <w:rsid w:val="00767AB5"/>
    <w:rsid w:val="00767DD2"/>
    <w:rsid w:val="00775354"/>
    <w:rsid w:val="00785EAB"/>
    <w:rsid w:val="007A2E9C"/>
    <w:rsid w:val="007A5B1E"/>
    <w:rsid w:val="007A7184"/>
    <w:rsid w:val="007C0A37"/>
    <w:rsid w:val="007C3E15"/>
    <w:rsid w:val="007D48B6"/>
    <w:rsid w:val="007D68F5"/>
    <w:rsid w:val="007E2D38"/>
    <w:rsid w:val="007F4B0A"/>
    <w:rsid w:val="007F5756"/>
    <w:rsid w:val="007F729F"/>
    <w:rsid w:val="008052A1"/>
    <w:rsid w:val="00806624"/>
    <w:rsid w:val="00811FD4"/>
    <w:rsid w:val="00815144"/>
    <w:rsid w:val="00815D0B"/>
    <w:rsid w:val="008201FC"/>
    <w:rsid w:val="00824FC1"/>
    <w:rsid w:val="0083198B"/>
    <w:rsid w:val="0083236F"/>
    <w:rsid w:val="00833A0A"/>
    <w:rsid w:val="0083672B"/>
    <w:rsid w:val="00837183"/>
    <w:rsid w:val="00847330"/>
    <w:rsid w:val="008479E6"/>
    <w:rsid w:val="008502EA"/>
    <w:rsid w:val="00850F07"/>
    <w:rsid w:val="00853D42"/>
    <w:rsid w:val="00861070"/>
    <w:rsid w:val="00873B94"/>
    <w:rsid w:val="00874162"/>
    <w:rsid w:val="00884B05"/>
    <w:rsid w:val="008854F7"/>
    <w:rsid w:val="00887B3E"/>
    <w:rsid w:val="00891252"/>
    <w:rsid w:val="008924C3"/>
    <w:rsid w:val="00894E5E"/>
    <w:rsid w:val="008A2372"/>
    <w:rsid w:val="008A24F2"/>
    <w:rsid w:val="008A45BA"/>
    <w:rsid w:val="008A4707"/>
    <w:rsid w:val="008B75E9"/>
    <w:rsid w:val="008B7EEA"/>
    <w:rsid w:val="008C0F06"/>
    <w:rsid w:val="008C2947"/>
    <w:rsid w:val="008D4498"/>
    <w:rsid w:val="008D5F18"/>
    <w:rsid w:val="008D681B"/>
    <w:rsid w:val="008D6B38"/>
    <w:rsid w:val="008E4A67"/>
    <w:rsid w:val="008E790A"/>
    <w:rsid w:val="008E79FC"/>
    <w:rsid w:val="008F3587"/>
    <w:rsid w:val="008F39FB"/>
    <w:rsid w:val="008F430A"/>
    <w:rsid w:val="0090601D"/>
    <w:rsid w:val="00912C41"/>
    <w:rsid w:val="0091693B"/>
    <w:rsid w:val="009219D6"/>
    <w:rsid w:val="00926810"/>
    <w:rsid w:val="009301AA"/>
    <w:rsid w:val="00943625"/>
    <w:rsid w:val="00947F26"/>
    <w:rsid w:val="00951623"/>
    <w:rsid w:val="00957589"/>
    <w:rsid w:val="00966737"/>
    <w:rsid w:val="00967841"/>
    <w:rsid w:val="00973D8B"/>
    <w:rsid w:val="009749EA"/>
    <w:rsid w:val="00974D46"/>
    <w:rsid w:val="009757CF"/>
    <w:rsid w:val="00984586"/>
    <w:rsid w:val="00992B4E"/>
    <w:rsid w:val="00993DE9"/>
    <w:rsid w:val="0099423D"/>
    <w:rsid w:val="0099471A"/>
    <w:rsid w:val="00994AA2"/>
    <w:rsid w:val="00996AA8"/>
    <w:rsid w:val="009B37AD"/>
    <w:rsid w:val="009B3A5C"/>
    <w:rsid w:val="009B4D50"/>
    <w:rsid w:val="009B7AF7"/>
    <w:rsid w:val="009C433B"/>
    <w:rsid w:val="009D538E"/>
    <w:rsid w:val="009E326A"/>
    <w:rsid w:val="009E406C"/>
    <w:rsid w:val="009E4FE1"/>
    <w:rsid w:val="009F5DE3"/>
    <w:rsid w:val="00A00115"/>
    <w:rsid w:val="00A00987"/>
    <w:rsid w:val="00A00BC5"/>
    <w:rsid w:val="00A1293F"/>
    <w:rsid w:val="00A177FB"/>
    <w:rsid w:val="00A17C7D"/>
    <w:rsid w:val="00A2219F"/>
    <w:rsid w:val="00A27CD1"/>
    <w:rsid w:val="00A326DA"/>
    <w:rsid w:val="00A331DF"/>
    <w:rsid w:val="00A333BC"/>
    <w:rsid w:val="00A334DD"/>
    <w:rsid w:val="00A342A3"/>
    <w:rsid w:val="00A37353"/>
    <w:rsid w:val="00A41686"/>
    <w:rsid w:val="00A444B3"/>
    <w:rsid w:val="00A45CA0"/>
    <w:rsid w:val="00A5042D"/>
    <w:rsid w:val="00A572E7"/>
    <w:rsid w:val="00A6293E"/>
    <w:rsid w:val="00A653FA"/>
    <w:rsid w:val="00A65A57"/>
    <w:rsid w:val="00A67D4D"/>
    <w:rsid w:val="00A706CA"/>
    <w:rsid w:val="00A7323C"/>
    <w:rsid w:val="00A754AB"/>
    <w:rsid w:val="00A761CA"/>
    <w:rsid w:val="00A8247D"/>
    <w:rsid w:val="00A877CF"/>
    <w:rsid w:val="00AB0420"/>
    <w:rsid w:val="00AD2BEE"/>
    <w:rsid w:val="00AD3C4B"/>
    <w:rsid w:val="00AD4631"/>
    <w:rsid w:val="00AE2802"/>
    <w:rsid w:val="00AF1F6C"/>
    <w:rsid w:val="00AF3374"/>
    <w:rsid w:val="00AF4A16"/>
    <w:rsid w:val="00B0254E"/>
    <w:rsid w:val="00B025A9"/>
    <w:rsid w:val="00B223A9"/>
    <w:rsid w:val="00B22848"/>
    <w:rsid w:val="00B25A88"/>
    <w:rsid w:val="00B34B01"/>
    <w:rsid w:val="00B34D13"/>
    <w:rsid w:val="00B37086"/>
    <w:rsid w:val="00B41C21"/>
    <w:rsid w:val="00B42896"/>
    <w:rsid w:val="00B46751"/>
    <w:rsid w:val="00B5055D"/>
    <w:rsid w:val="00B50EC1"/>
    <w:rsid w:val="00B52264"/>
    <w:rsid w:val="00B52FD8"/>
    <w:rsid w:val="00B60203"/>
    <w:rsid w:val="00B606AE"/>
    <w:rsid w:val="00B62231"/>
    <w:rsid w:val="00B64EFA"/>
    <w:rsid w:val="00B664C4"/>
    <w:rsid w:val="00B66A16"/>
    <w:rsid w:val="00B70177"/>
    <w:rsid w:val="00B86B63"/>
    <w:rsid w:val="00B91891"/>
    <w:rsid w:val="00B91C00"/>
    <w:rsid w:val="00B95FBD"/>
    <w:rsid w:val="00BA000B"/>
    <w:rsid w:val="00BA0F4A"/>
    <w:rsid w:val="00BA1A44"/>
    <w:rsid w:val="00BB4DA6"/>
    <w:rsid w:val="00BB673F"/>
    <w:rsid w:val="00BD34DD"/>
    <w:rsid w:val="00BD4F8B"/>
    <w:rsid w:val="00BD5514"/>
    <w:rsid w:val="00BF1D3C"/>
    <w:rsid w:val="00BF3AC2"/>
    <w:rsid w:val="00BF55D6"/>
    <w:rsid w:val="00C00F7C"/>
    <w:rsid w:val="00C03AA9"/>
    <w:rsid w:val="00C06B38"/>
    <w:rsid w:val="00C30AAA"/>
    <w:rsid w:val="00C32828"/>
    <w:rsid w:val="00C36B22"/>
    <w:rsid w:val="00C41529"/>
    <w:rsid w:val="00C41F0F"/>
    <w:rsid w:val="00C50533"/>
    <w:rsid w:val="00C540D3"/>
    <w:rsid w:val="00C544F8"/>
    <w:rsid w:val="00C56860"/>
    <w:rsid w:val="00C57CFB"/>
    <w:rsid w:val="00C62D88"/>
    <w:rsid w:val="00C67AB5"/>
    <w:rsid w:val="00C8233B"/>
    <w:rsid w:val="00C90F09"/>
    <w:rsid w:val="00C94E62"/>
    <w:rsid w:val="00CA30DF"/>
    <w:rsid w:val="00CB3657"/>
    <w:rsid w:val="00CB5D3C"/>
    <w:rsid w:val="00CB680E"/>
    <w:rsid w:val="00CC6635"/>
    <w:rsid w:val="00CC70F4"/>
    <w:rsid w:val="00CD0D64"/>
    <w:rsid w:val="00CE7E78"/>
    <w:rsid w:val="00CF563B"/>
    <w:rsid w:val="00CF69A1"/>
    <w:rsid w:val="00D04375"/>
    <w:rsid w:val="00D21F83"/>
    <w:rsid w:val="00D23728"/>
    <w:rsid w:val="00D2435B"/>
    <w:rsid w:val="00D379DD"/>
    <w:rsid w:val="00D40E09"/>
    <w:rsid w:val="00D424EF"/>
    <w:rsid w:val="00D43B46"/>
    <w:rsid w:val="00D44C0A"/>
    <w:rsid w:val="00D475D0"/>
    <w:rsid w:val="00D50078"/>
    <w:rsid w:val="00D53561"/>
    <w:rsid w:val="00D56BC3"/>
    <w:rsid w:val="00D63574"/>
    <w:rsid w:val="00D64177"/>
    <w:rsid w:val="00D70E54"/>
    <w:rsid w:val="00D837DD"/>
    <w:rsid w:val="00D90526"/>
    <w:rsid w:val="00D9131D"/>
    <w:rsid w:val="00D93186"/>
    <w:rsid w:val="00D93BB4"/>
    <w:rsid w:val="00DA7665"/>
    <w:rsid w:val="00DB028C"/>
    <w:rsid w:val="00DB23FA"/>
    <w:rsid w:val="00DC3910"/>
    <w:rsid w:val="00DC4FDC"/>
    <w:rsid w:val="00DC6F89"/>
    <w:rsid w:val="00DD0704"/>
    <w:rsid w:val="00DD07A1"/>
    <w:rsid w:val="00DD57A9"/>
    <w:rsid w:val="00DE1C4E"/>
    <w:rsid w:val="00DE277F"/>
    <w:rsid w:val="00DF2DDE"/>
    <w:rsid w:val="00DF7A3C"/>
    <w:rsid w:val="00E02810"/>
    <w:rsid w:val="00E0432A"/>
    <w:rsid w:val="00E07335"/>
    <w:rsid w:val="00E163D5"/>
    <w:rsid w:val="00E202DA"/>
    <w:rsid w:val="00E31181"/>
    <w:rsid w:val="00E45214"/>
    <w:rsid w:val="00E45DFA"/>
    <w:rsid w:val="00E46C82"/>
    <w:rsid w:val="00E55AE3"/>
    <w:rsid w:val="00E57C56"/>
    <w:rsid w:val="00E8240F"/>
    <w:rsid w:val="00E84ECE"/>
    <w:rsid w:val="00E972CB"/>
    <w:rsid w:val="00EA123B"/>
    <w:rsid w:val="00EB3075"/>
    <w:rsid w:val="00EB430F"/>
    <w:rsid w:val="00EC084D"/>
    <w:rsid w:val="00EE3FD5"/>
    <w:rsid w:val="00EE721A"/>
    <w:rsid w:val="00EF1629"/>
    <w:rsid w:val="00EF1E47"/>
    <w:rsid w:val="00EF2D47"/>
    <w:rsid w:val="00F06F10"/>
    <w:rsid w:val="00F21EB5"/>
    <w:rsid w:val="00F2311F"/>
    <w:rsid w:val="00F32A18"/>
    <w:rsid w:val="00F62227"/>
    <w:rsid w:val="00F71A0A"/>
    <w:rsid w:val="00F77B99"/>
    <w:rsid w:val="00F86662"/>
    <w:rsid w:val="00FA17F0"/>
    <w:rsid w:val="00FA397E"/>
    <w:rsid w:val="00FA6B75"/>
    <w:rsid w:val="00FB311C"/>
    <w:rsid w:val="00FB42B3"/>
    <w:rsid w:val="00FC6359"/>
    <w:rsid w:val="00FD4433"/>
    <w:rsid w:val="00FD4BCA"/>
    <w:rsid w:val="00FE2179"/>
    <w:rsid w:val="00FE56AC"/>
    <w:rsid w:val="00FE6B8F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0626"/>
    <w:pPr>
      <w:ind w:firstLine="720"/>
      <w:jc w:val="both"/>
    </w:pPr>
    <w:rPr>
      <w:rFonts w:ascii="Arial" w:hAnsi="Arial"/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0626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Footer">
    <w:name w:val="footer"/>
    <w:basedOn w:val="Normal"/>
    <w:link w:val="FooterChar"/>
    <w:rsid w:val="00110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6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0626"/>
  </w:style>
  <w:style w:type="paragraph" w:styleId="ListParagraph">
    <w:name w:val="List Paragraph"/>
    <w:basedOn w:val="Normal"/>
    <w:uiPriority w:val="34"/>
    <w:qFormat/>
    <w:rsid w:val="00110626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62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106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0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26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nhideWhenUsed/>
    <w:rsid w:val="003E54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34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4B0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69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0626"/>
    <w:pPr>
      <w:ind w:firstLine="720"/>
      <w:jc w:val="both"/>
    </w:pPr>
    <w:rPr>
      <w:rFonts w:ascii="Arial" w:hAnsi="Arial"/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0626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Footer">
    <w:name w:val="footer"/>
    <w:basedOn w:val="Normal"/>
    <w:link w:val="FooterChar"/>
    <w:rsid w:val="00110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6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0626"/>
  </w:style>
  <w:style w:type="paragraph" w:styleId="ListParagraph">
    <w:name w:val="List Paragraph"/>
    <w:basedOn w:val="Normal"/>
    <w:uiPriority w:val="34"/>
    <w:qFormat/>
    <w:rsid w:val="00110626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62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106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0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26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nhideWhenUsed/>
    <w:rsid w:val="003E54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34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4B0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69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8725-F242-4E58-A0ED-9099089F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mandescu marian</dc:creator>
  <cp:lastModifiedBy>cimpoesu ramona HR</cp:lastModifiedBy>
  <cp:revision>2</cp:revision>
  <cp:lastPrinted>2023-04-20T09:00:00Z</cp:lastPrinted>
  <dcterms:created xsi:type="dcterms:W3CDTF">2023-05-08T06:05:00Z</dcterms:created>
  <dcterms:modified xsi:type="dcterms:W3CDTF">2023-05-08T06:05:00Z</dcterms:modified>
</cp:coreProperties>
</file>